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17" w:rsidRPr="00D60317" w:rsidRDefault="00D60317" w:rsidP="00D6031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F2F2F"/>
          <w:kern w:val="36"/>
          <w:sz w:val="51"/>
          <w:szCs w:val="51"/>
        </w:rPr>
      </w:pPr>
      <w:r w:rsidRPr="00D60317">
        <w:rPr>
          <w:rFonts w:ascii="Times New Roman" w:eastAsia="Times New Roman" w:hAnsi="Times New Roman" w:cs="Times New Roman"/>
          <w:color w:val="2F2F2F"/>
          <w:kern w:val="36"/>
          <w:sz w:val="51"/>
          <w:szCs w:val="51"/>
        </w:rPr>
        <w:t>Министерство образования и науки Российской Федерации: Приказ № 504 от 26.06.2012</w:t>
      </w:r>
    </w:p>
    <w:p w:rsidR="00D60317" w:rsidRPr="00D60317" w:rsidRDefault="00D60317" w:rsidP="00D6031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D60317">
        <w:rPr>
          <w:rFonts w:ascii="Arial" w:eastAsia="Times New Roman" w:hAnsi="Arial" w:cs="Arial"/>
          <w:color w:val="666666"/>
          <w:sz w:val="20"/>
          <w:szCs w:val="20"/>
        </w:rPr>
        <w:t>08.08.12 16:13</w:t>
      </w:r>
    </w:p>
    <w:p w:rsidR="00D60317" w:rsidRPr="00D60317" w:rsidRDefault="00D60317" w:rsidP="00D6031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D60317">
        <w:rPr>
          <w:rFonts w:ascii="Arial" w:eastAsia="Times New Roman" w:hAnsi="Arial" w:cs="Arial"/>
          <w:color w:val="666666"/>
          <w:sz w:val="20"/>
          <w:szCs w:val="20"/>
        </w:rPr>
        <w:t>3983</w:t>
      </w:r>
    </w:p>
    <w:p w:rsidR="00D60317" w:rsidRPr="00D60317" w:rsidRDefault="00D60317" w:rsidP="00D6031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color w:val="2F2F2F"/>
          <w:sz w:val="29"/>
          <w:szCs w:val="29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17" w:rsidRPr="00D60317" w:rsidRDefault="00D60317" w:rsidP="00D60317">
      <w:pPr>
        <w:pBdr>
          <w:left w:val="single" w:sz="24" w:space="15" w:color="C0000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</w:rPr>
      </w:pPr>
      <w:r w:rsidRPr="00D60317">
        <w:rPr>
          <w:rFonts w:ascii="Times New Roman" w:eastAsia="Times New Roman" w:hAnsi="Times New Roman" w:cs="Times New Roman"/>
          <w:color w:val="2F2F2F"/>
          <w:sz w:val="42"/>
          <w:szCs w:val="42"/>
        </w:rPr>
        <w:t>Министерство образования и науки Российской Федерации</w:t>
      </w:r>
    </w:p>
    <w:p w:rsidR="00D60317" w:rsidRPr="00D60317" w:rsidRDefault="00D60317" w:rsidP="00D60317">
      <w:pPr>
        <w:pBdr>
          <w:left w:val="single" w:sz="24" w:space="15" w:color="C00000"/>
        </w:pBd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</w:rPr>
      </w:pPr>
      <w:proofErr w:type="gramStart"/>
      <w:r w:rsidRPr="00D60317">
        <w:rPr>
          <w:rFonts w:ascii="Times New Roman" w:eastAsia="Times New Roman" w:hAnsi="Times New Roman" w:cs="Times New Roman"/>
          <w:color w:val="2F2F2F"/>
          <w:sz w:val="42"/>
          <w:szCs w:val="42"/>
        </w:rPr>
        <w:t>П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42"/>
          <w:szCs w:val="42"/>
        </w:rPr>
        <w:t xml:space="preserve">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42"/>
          <w:szCs w:val="42"/>
        </w:rPr>
        <w:t>р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42"/>
          <w:szCs w:val="42"/>
        </w:rPr>
        <w:t xml:space="preserve"> и к а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42"/>
          <w:szCs w:val="42"/>
        </w:rPr>
        <w:t>з</w:t>
      </w:r>
      <w:proofErr w:type="spellEnd"/>
    </w:p>
    <w:p w:rsidR="00D60317" w:rsidRPr="00D60317" w:rsidRDefault="00D60317" w:rsidP="00D603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 утверждении Типового положения об образовательном учреждении дополнительного образования детей</w:t>
      </w:r>
    </w:p>
    <w:p w:rsidR="00D60317" w:rsidRPr="00D60317" w:rsidRDefault="00D60317" w:rsidP="00D6031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26.06.2012</w:t>
      </w:r>
    </w:p>
    <w:p w:rsidR="00D60317" w:rsidRPr="00D60317" w:rsidRDefault="00D60317" w:rsidP="00D60317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№ 504</w:t>
      </w:r>
    </w:p>
    <w:p w:rsidR="00D60317" w:rsidRPr="00D60317" w:rsidRDefault="00D60317" w:rsidP="00D603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Зарегистрировано в Минюсте России 02 августа 2012 г. № 25082</w:t>
      </w:r>
    </w:p>
    <w:p w:rsidR="009043B7" w:rsidRDefault="00D60317" w:rsidP="00D603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 соответствии с пунктом 5 статьи 12 Закона Российской Федерации от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10 июля 1992 г. N 3266-1 "Об образовании" (Ведомости Съезда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народных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депутатов Российской Федерации и Верховного Совета Российской Федерации,1992, N 30, ст. 1797; С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>обрание законодательства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Россий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>ской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Федерации,1996, N 3, ст. 150; 2004, N 35, ст. 3607; 2007, N 27, ст. 3215;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2008,N 9, ст. 813; N 30, ст. 3616; 2009, N 46, ст. 5419; 2010, N 19, ст. 2291;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46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, ст. 5918; 2011, N 6, ст. 793)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 подпунктом 5.2.62 Положения о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Министерстве образования и науки Российской Федерации, утвержденного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постановлением Правительства Российской Федерации от 15 мая 2010 г. N 337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(Собрание законодательства Российской Федерации, 2010, N 21, ст. 2603;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N 26, ст. 3350; 2011, N 6 ст. 888; N 14, ст. 1935;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28, ст. 4214; N 37,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ст. 5257; N 47, ст. 6650,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ст. 6662; 2012, N 7,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ст. 861, ст. 868; N 14,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ст.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1627; N 15, ст. 1796), приказываю:</w:t>
      </w:r>
      <w:proofErr w:type="gramEnd"/>
    </w:p>
    <w:p w:rsidR="009043B7" w:rsidRDefault="009043B7" w:rsidP="00D6031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="00D60317"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1.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="00D60317"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Утвердить прилагаемое Типовое положение об образовательном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="00D60317"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учреждении дополнительного образования детей.</w:t>
      </w:r>
    </w:p>
    <w:p w:rsidR="00552F18" w:rsidRDefault="00D60317" w:rsidP="001269E9">
      <w:pPr>
        <w:shd w:val="clear" w:color="auto" w:fill="FFFFFF"/>
        <w:spacing w:after="0" w:line="360" w:lineRule="auto"/>
        <w:textAlignment w:val="baseline"/>
      </w:pP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2.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Настоящий приказ вступает в силу с даты вступления в силу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постановления Правительства Российской Федерации о признании утратившим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силу постановления Правительства Российской Федерации от 7 марта 1995 г.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233 "Об утверждении Типового положения об образовательном учреждении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дополнительного образования детей" (Собрание законодательства Российской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Федерации, 1995, N 12,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ст. 1053;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1997, N 10,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ст. 1169;</w:t>
      </w:r>
      <w:proofErr w:type="gramEnd"/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003, N 33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3266; 2005, N 7, ст. 560; 2006, N 50, ст. 5356; 2009, N 12,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1427)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.Министр Д.В. Ливанов Прилож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ение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b/>
          <w:bCs/>
          <w:color w:val="2F2F2F"/>
          <w:sz w:val="29"/>
        </w:rPr>
        <w:t>Типовое положение об образовательном учреждении дополнительного образования детей (утв. приказом Министерства образования и науки РФ от 26 июня 2012 г. N 504)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I. Общие положения 1.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Настоящее Типовое 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положение об образовательном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учреждении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дополнительного образования детей (далее - Типовое положение) регулирует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деятельность государственных и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муниципальных образовательных 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учреждений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дополнительного образов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ания детей следующих видов: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центры дополнительного образования детей, развития творчества детей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 юношества, творческого развити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я и гуманитарного образования,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детского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творчества, внешкольной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работы, детского (юношеского)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технического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творчества (научно-технического, юных техников, технического творчества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учащихся), детского и юношеского ту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ризма и экскурсий (краеведения,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Юных</w:t>
      </w:r>
      <w:proofErr w:type="gramEnd"/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туристов), эстетического воспитания д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етей (культуры, искусств или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по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видам искусств), 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>детско-юношеский центр, детский (подростковый)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центр,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детский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экологический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(оздоровительно-экологический,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эколого-биологический) центр, детский морской центр, детский (юношеский)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центр, детский оздоровительно-образовательный (профильный) центр; дворцы детского (юношеского) творчества, творчества детей и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молодежи, учащейся м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олодежи, пионеров и 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школьников,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юных натуралистов,</w:t>
      </w:r>
      <w:r w:rsidR="00441864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>спорта для детей и юношества,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художественного творчества (воспитания)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детей, детской культуры (искусств);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дома детского творчества, детства и юношества, учащейся молодежи,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пионеров и школьников, юных натуралистов, детского (юношеского)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технического творчества (юных техников), детского и юношеского туризма и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экскурсий (юных туристов), художественного творчества (воспитания) детей,</w:t>
      </w:r>
      <w:r w:rsidR="009043B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детской культуры (искусств); станции юных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натуралистов,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детского (юношеского) технического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творчества (научно-технического, юных техников), детского и юношеского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туризма и экскурсий (юных туристов), детская экологическая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(эколого-биологическая) станция;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детские школы искусств (в том числе по различным видам искусств); детско-юношеские спортивные школы; специализирован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>ная детско-юношеская спортивная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школа олимпийского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резерва; детско-юношеские спортивно-адаптивные школы; специализированные адаптивные детско-юношеские спортивные школы; адаптивные детско-юношеские клубы физической подготовки.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2.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Го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>сударственное и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муниципальное образовательное учреждение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дополнительного образования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детей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(далее - учреждение) может быть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автономным, бюджетным или казенным. 3. Наименование учреждения устанавливается при его создании и может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изменяться в установленном порядке органом государственной власти,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органом местного самоуправления, в ведении которого находится учреждение. В наименовании учреждения указываются его вид и при необходимости -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специальное, в том числе исторически закрепившееся название учреждения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(детская музыкальная школа, центральная специальная музыкальная школа,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детская художественная школа, детская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хореографическая школа,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детская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цирковая школа, детская школа художественных ремесел, детская хоровая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школа, детская театральная школа, детская школа эстрадного искусства). Если в наименовании детских школ искусств (в том числе по различным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видам искусств) употребляется специальное название, вид учреждения не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указывается. 4. Для негосударственных учреждений настоящее Типовое положение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выполняет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 xml:space="preserve">функцию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примерного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*(1). 5. Учреждение: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реализует дополнительные образовательные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программы,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 том числе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дополнительные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предпрофессиональные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общеобразовательные программы в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области иску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сств в д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етских школах искусств (в том числе по различным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видам искусств);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оказывает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образовательные услуги, предусмотренные уставом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учреждения, в интересах личности, общества, государства.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Основные задачи учреждения: обеспечение духовно-нравственного,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гражданско-патриотического,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трудового воспитания детей; выявление и развитие творческого потенциала одаренных детей; профессиональная ориентация детей; создание и обеспечение необходимых условий для личностного развития,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укрепления здоровья, профессионального самоопределения и творческого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труда детей в возрасте преимущественно от 6 до 18 лет;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подготовка спортивного резерва и спортсменов высокого класса в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соответствии с федеральными стандартами спортивной подготовки;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адаптация детей к жизни в обществе; формирование общей культуры детей; организация содержательного досуга детей; удовлетворение потребности детей в художественно-эстетическом и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интеллектуальном развитии, а также в занятиях физической культурой и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спортом. 6. По инициативе детей в учреждении могут создаваться детские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общественные объединения и организации, действующие в соответствии со</w:t>
      </w:r>
      <w:r w:rsidR="00747C7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своими уставами и положениями. Администрация учреждения оказывает содействие в работе таким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объединениям и организациям. 7. В учреждении не допускаются создание и деятельность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организационных структур политических партий, общественно-политических 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религиозных движений и организаций (объединений). В государственном 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муниципальном учреждении образование носит светский характер. 8. Учреждение имеет право устанавливать прямые связи с учреждениями,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предприятиями и иными организациями, в том числе и иностранными. 9. Учреждение в своей деятельности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руководствуется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Конституцией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Федерации, федеральными законами, указами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и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распоряжениями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Президента Российской 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постановлениями и распоряжениями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Правительства Российской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Федерации, решениями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соответствующего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государственного или муниципального органа, осуществляющего управление в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сфере образования, настоящим Типовым положением и уставом учреждения. 10. Язык (языки), на котором (которых) ведутся обучение и воспитание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в учреждении, определяется учредителем и (или) уставом учреждения*(2). 11.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Учреждение несет в установленном законодательством Российской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 порядке ответственность за*(3): невыполнение функций, отнесенных к его компетенции; реализацию не в полном объеме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дополнительных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образовательных</w:t>
      </w:r>
      <w:r w:rsidR="00E7466D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программ, дополнительных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предпрофессиональных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общеобразовательных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программ в области искусств 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>в соответствии с учебным планом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и графиком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учебного процесса; качество образования детей; жизнь и здоровье детей и работников учреждения во время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образовательного процесса;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нарушение прав и свобод детей и работников учреждения; иные действия, предусмотренные законодательством Российской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Федерации. II. Организация деятельности учреждения 12. Учреждение создается учредителем и регистрируется в порядке,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установленном законодательством Российской Федерации. 13. Права юридического лица у учреждения в части ведения уставной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финансово-хозяйственной деятельности возникают с момента его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государственной регистрации. Учреждение самостоятельно осуществляет финансово-хозяйственную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деятельность, имеет устав, самостоятельный баланс и лицевой счет (счет),</w:t>
      </w:r>
      <w:r w:rsidR="00FC6785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открытый в установленном порядке, печать установленного образца, штамп и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бланки со своим наименованием. 14. Право на осуществление образовательной деятельности возникает у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учреждения с момента выдачи ему лицензии на осуществление образовательной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деятельности. 15.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Учреждение может иметь в своей структуре филиалы,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представительства, учебные отделения, учебные кабинеты, учебные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концертные, выставочные, танцевальные залы, учебные театры, учебные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манежи, музеи, библиотеки, фоно- и видеотеки, общежития и другие объекты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социальной инфраструктуры. 16.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Учреждение может быть создано, реорганизовано и ликвидировано в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порядке, установленном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 xml:space="preserve">законодательством Российской Федерации. 17.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Учреждение самостоятельно разрабатывает и утверждает: дополнительные образовательные программы с учетом запросов детей,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потребностей семьи, образовательных учреждений, детских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юношеских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общественных объединений и организаций, особенностей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социально-экономического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развития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региона и национально-культурных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традиций; дополнительные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предпрофессиональные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общеобразовательные программы в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области искусств на основе федеральных государственных требований; программы спортивной подготовки на основе федеральных стандартов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спортивной подготовки*(4);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учебные планы. 18. Режим работы учреждения определяется уставом учреждения. 19. Учреждение организует работу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детьми в течение всего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календарного года, включая каникулярное время. В каникулярное время учреждение может открывать в порядке,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установленном законодательством Российской Федерации, туристские базы, а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также лагеря, в том числе специализированные (профильные), с постоянными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 (или) переменными составами детей (загородные лагеря или лагеря с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дневным пребыванием) на своей базе, а также по месту жительства детей. 20. Учреждение организует и проводит массовые мероприятия, создает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необходимые условия для совместного труда, отдыха детей, родителей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(законных представителей). 21. В учреждении ведется методическая работа, направленная на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совершенствование образовательного процесса, программ, форм и методов его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деятельности, а также мастерства педагогических работников. С этой целью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 учреждении создается методический совет.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Порядок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его работы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определяется уставом учреждения. Учреждение</w:t>
      </w:r>
      <w:r w:rsidR="0002019C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оказывает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помощь педагогическим коллективам других</w:t>
      </w:r>
      <w:r w:rsidR="006201E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образовательных учреждений в реализации дополнительных образовательных</w:t>
      </w:r>
      <w:r w:rsidR="006201E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программ, организации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досуговой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и внеурочной деятельности детей, а также</w:t>
      </w:r>
      <w:r w:rsidR="006201E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детским общественным объединениям и организациям на договорной основе. 22.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Деятельность детей в учреждениях осуществляется в одновозрастных</w:t>
      </w:r>
      <w:r w:rsidR="006201E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 разновозрастных объединениях по интересам (клубы, студии, оркестры,</w:t>
      </w:r>
      <w:r w:rsidR="006201E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творческие коллективы, ансамбли, группы, секции, кружки, театры и</w:t>
      </w:r>
      <w:r w:rsidR="006201E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другие),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а также индивидуально.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Численный состав и продолжительность учебных занятий зависят от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направленности дополнительных образовательных программ. 23. Занятия в объединениях по интересам могут проводиться по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дополнительным образовательным программам различной направленности. Численный состав объединения по интересам, продолжительность занятий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 нем определяются уставом учреждения. Занятия проводятся по группам,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индивидуально или всем составом объединения по интересам. Каждый ребенок имеет право заниматься в нескольких объединениях по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интересам, менять их. При приеме в спортивные, спортивно-технические,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туристские,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хореографические, цирковые объединения по интересам необходимо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медицинское заключение о состоянии здоровья ребенка. С детьми-инвалидами может проводиться индивидуальная работа по месту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жительства. Расписание занятий объединения по интересам составляется для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создания наиболее благоприятного режима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труда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 отдыха детей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администрацией учреждения по представлению педагогических работников с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учетом пожеланий родителей (законных представителей), возрастных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особенностей детей и установленных санитарно-гигиенических норм. 24. В работе объединений по интересам при наличии условий и согласия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руководителя объединения по интересам могут участвовать совместно с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детьми их родители (законные представители) без включения в основной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состав. 25. При реализации дополнительных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предпрофессиональных</w:t>
      </w:r>
      <w:proofErr w:type="spellEnd"/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общеобразовательных программ в области иску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сств пр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едусматриваются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аудиторные и внеаудиторные (самостоятельные) занятия, которые проводятся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 группам или индивидуально. Учреждение определяет формы аудиторных занятий, а также формы,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порядок и периодичность проведения промежуточной аттестации обучающихся. Освоение дополнительных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предпрофессиональных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общеобразовательных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программ в области искусств завершается итоговой аттестацией обучающихся,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формы и порядок проведения которой устанавливаются Министерством культуры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по согласованию с Министерством образования и науки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Российской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Федерации*(5). III. Участники образовательного процесса 26. Участниками образовательного процесса в учреждении являются дети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 18 лет, обучающиеся (далее вместе - дети), педагогические работники,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родители (законные представители). 27. Правила приема детей в учреждение в части, не урегулированной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законодательством Российской Федерации, порядком приема в образовательные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учреждения, установленным Министерством образования и науки Российской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Федерации, уставами образовательных учреждений, а также настоящим Типовым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положением, определяются учреждением самостоятельно*(6). Прием в детские школы искусств (в том числе по различным видам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искусств) осуществляется по результатам индивидуального отбора детей с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учетом их творческих и физиологических данных. 28. Учреждение объявляет прием детей для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обучения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по дополнительным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образовательным программам,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а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также по дополнительным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предпрофессиональным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общеобразовательным программам в области искусств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только при наличии лицензии на осуществление образовательной деятельности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 этим образовательным программам. Учреждение вправе осуществлять прием детей сверх установленного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государственного (муниципального) задания на оказание государственных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(муниципальных) услуг на обучение на платной основе. 29. При приеме детей учреждение обязано ознакомить их и (или) их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родителей (законных представителей) с уставом учреждения, лицензией на</w:t>
      </w:r>
      <w:r w:rsidR="00BB25AB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осуществление образовательной деятельности и другими документами,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регламентирующими организацию образовательного процесса. 30. Права и обязанности детей, родителей (законных представителей),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педагогических работников определяются уставом учреждения и иными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предусмотренными уставом актами. 31. Порядок комплектования персонала учреждения регламентируется его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уставом. 32. К педагогической деятельности в учреждении допускаются лица,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имеющие среднее профессиональное или высшее профессиональное образование,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отвечающие требованиям квалификационных характеристик, определенных для</w:t>
      </w:r>
      <w:r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соответствующих должностей педагогических работников.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К педагогической деятельности не допускаются лица*(7): лишенные права заниматься педагогической деятельностью в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соответствии со вступившим в законную силу приговором суда;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имеющие или имевшие судимость, подвергающиеся или подвергавшиеся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уголовному преследованию (за исключением лиц, уголовное преследование в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отношении которых прекращено по реабилитирующим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основаниям) за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преступления против жизни и здоровья, свободы, чести и достоинства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личности (за исключением незаконного помещения в психиатрический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стационар, клеветы и оскорбления), половой неприкосновенности и половой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свободы личности, против семьи и несовершеннолетних, здоровья населения и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общественной нравственности, а также против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общественной безопасности; имеющие неснятую или непогашенную судимость за умышленные тяжкие и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особо тяжкие преступления; признанные недееспособными в установленном федеральным законом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порядке; имеющие заболевания, предусмотренные перечнем, утверждаемым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федеральным органом исполнительной власти, осуществляющим функции по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выработке государственной политики и нормативно-правовому регулированию в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области здравоохранения. 33. Отношения работника учреждения и администрации регулируются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трудовым договором, условия которого не могут противоречить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законодательству Российской Федерации о труде. 34. Отношения детей и персонала учреждения строятся на основе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сотрудничества, уважения личности ребенка и предоставления ему свободы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развития в соответствии с индивидуальными особенностями. 35. Права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обязанности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работников учреждения определяются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законодательством Российской Федерации, уставом учреждения и трудовым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договором. 36. Педагогические работники учреждения имеют право*(8): на участие в управлении учреждением в порядке, определяемом уставом; на защиту своей профессиональной чести, достоинства и деловой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репутации. 37. Учреждение устанавливает: структуру управления деятельностью учреждения, штатное расписание,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распределение должностных обязанностей работников*(9); заработную плату работников, в том числе надбавки и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доплаты к</w:t>
      </w:r>
      <w:r w:rsidR="00552F1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должностным окладам, порядок и размеры их премирования*(10). IV. Управление учреждением 38. Управление учреждением осуществляется в соответствии с Законом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"Об образовании", иными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законодательными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актами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Федерации, настоящим Типовым положением и уставом. 39. Управление учреждением строится на принципах единоначалия и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самоуправления, обеспечивающих государственно-общественный характер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управления учреждением.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Формами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самоуправления учреждения, обеспечивающими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государственно-общественный характер управления, являются попечительский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совет, общее собрание работников, педагогический совет и другие формы.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Порядок выборов органов самоуправления и их компетенция определяются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уставом учреждения. 40. Устав учреждения и изменения к нему принимаются общим собранием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работников учреждения и утверждаются учредителем в установленном порядке. 41. Непосредственное руководство учреждением осуществляет директор. Прием на работу директора учреждения осуществляется в порядке,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определяемом уставом учреждения, и в соответствии с законодательством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Федерации. Директор учреждения в соответствии с законодательством Российской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Федерации: осуществляет текущее руководство деятельностью учреждения; планирует, организует и контролирует образовательную,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учебно-методическую, творческую и хозяйственную деятельность учреждения; действует от имени учреждения, представляет его во всех учреждениях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 организациях; соблюдает финансовую дисциплину; обеспечивает сохранность имущества и других материальных ценностей,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находящихся в оперативном управлении учреждения;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заключает договоры (в том числе трудовые договоры), выдает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доверенности; в пределах своей компетенции издает приказы, распоряжения,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утверждает локальные акты, в том числе правила внутреннего распорядка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учреждения; осуществляет подбор, прием на работу и расстановку кадров, несет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ответственность за уровень их квалификации;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утверждает структуру управления деятельностью учреждения и штатное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расписание, распределяет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должностные обязанности, поощряет работников и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налагает на них взыскания;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распоряжается имуществом учреждения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в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пределах и порядке,</w:t>
      </w:r>
      <w:r w:rsidR="003B1658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определяемых законодательством Российской Федерации; открывает лицевые счета и (или) счета в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кредитных организациях в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случаях и порядке, установленных законодательством Российской Федерации; несет ответственность за выполнение возложенных на учреждение задач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перед учредителем. V. Имущество и средства учреждения 42.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 учреждением в целях обеспечения образовательной деятельности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 соответствии с его уставом учредитель в установленном порядке</w:t>
      </w:r>
      <w:proofErr w:type="gramEnd"/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закрепляет имущество (здания, сооружения, оборудование, а также другое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необходимое имущество потребительского, социального, культурного и иного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назначения) на праве оперативного управления. Учреждение владеет, пользуется и распоряжается закрепленным за ним</w:t>
      </w:r>
      <w:r w:rsidR="0025041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на праве оперативного управления имуществом в соответствии с его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назначением, уставом и законодательством Российской Федерации. Земельные участки закрепляются за государственными и муниципальными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учреждениями в порядке, установленном законодательством Российской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Федерации*(11).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Учреждение несет ответственность перед собственником за сохранность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эффективное использование закрепленной за этим учреждением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собственности.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Контроль за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деятельностью образовательного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учреждения в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этой части осуществляется учредителем или иным юридическим лицом,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уполномоченным собственником*(12). Учредитель учреждения обеспечивает развитие и обновление</w:t>
      </w:r>
      <w:r w:rsidR="00A20A23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материально-технической базы учреждения. При включении в состав учреждения детей с ограниченными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возможностями здоровья и детей-инвалидов материально-техническая база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учреждения должна обеспечивать возможность беспрепятственного доступа их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в помещения учреждения, а также их пребывания в указанных помещениях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(наличие пандусов, поручней, расширенных дверных проемов, лифтов,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специальных кресел и другие условия). Дети с ограниченными возможностями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здоровья, дети-инвалиды вправе пользоваться необходимыми техническими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средствами, а также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услугами ассистента (помощника), оказывающего им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необходимую техническую помощь. 43. Финансовое обеспечение деятельности учреждения осуществляется в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соответствии с законодательством Российской Федерации. Учреждение вправе вести в соответствии с законодательством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приносящую доход деятельность, предусмотренную его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уставом, постольку, поскольку это служит достижению целей, ради которых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оно создано, и соответствует указанным целям. 44. Учреждение вправе привлекать в порядке, установленном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законодательством Российской Федерации, дополнительные финансовые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средства за счет предоставления платных дополнительных образовательных и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иных предусмотренных уставом услуг, а также за счет добровольных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пожертвований и целевых взносов физических и (или) юридических лиц, в том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числе иностранных граждан и (или) иностранных юридических лиц*(13). 45. Имущество учреждения, закрепленное за ним учредителем,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используется им в соответствии с уставом и изъятию не подлежит, если иное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не предусмотрено законодательством Российской Федерации.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Собственник имущества вправе изъять излишнее, неиспользуемое или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используемое не по назначению имущество, закрепленное им за учреждением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или приобретенное учреждением за счет средств, выделенных ему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собственником на приобретение этого имущества. *(1) Пункт 5 статьи 12 Закона Российской Федерации от 10 июля 1992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br/>
        <w:t>г. N 3266-1 "Об образовании" (Ведомости Съезда народных депутатов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</w:t>
      </w:r>
      <w:r w:rsidR="00C471A2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Совета Российской Федерации, 1992,N 30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, ст. 1797; Собрание законодательства Российской Федерации, 1996,N 3, ст. 150; 2004, N 35, ст. 3607; 2007, N 27, ст. 3215; 2008, N 9,ст. 813; N 30, ст. 3616; 2009, N 46, ст. 5419; 2010, N 19, ст. 2291;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N 46, ст. 5918;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2011, N 6, ст. 793). *(2) Пункт 3 статьи 6 Закона Российской Федерации от 10 июля 1992 г.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 образовании" (Ведомости Съезда народных депутатов Российской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Федерации и Верховного Совета Российской Федерации, 1992, N 30, ст. 1797;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Собрание законодательства Российской Федерации, 1996, N 3, ст. 150; 2007,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49, ст. 6070;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2011, N 23, ст. 3261). *(3) Пункт 3 статьи 32 Закона Российской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 xml:space="preserve">Федерации от 10 июля 1992г.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 образовании" (Ведомости Съезда народных депутатов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 Совета Российской Федерации, 1992,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1797; Собрание законодательства Российской Федерации, 1996,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2002, N 26, ст. 2517; 2003, N 2, ст. 163; 2004, N 27,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2714; N 35, ст. 3607; 2007, N 1, ст. 21;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3808; N 49,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6070; 2010, N 46, ст. 5918; 2012, N 10, ст. 1159). *(4) Пункт 10 статьи 2, статья 34.3 Федерального закона от 4 декабря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2007 г. N 329-ФЗ "О физической культуре и спорте в Российской Федерации"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(Собрание законодательства Российской Федерации, 2007, N 50, ст. 6242;</w:t>
      </w:r>
      <w:proofErr w:type="gramEnd"/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2010, N 19, ст. 2290; 2011, N 49, ст. 7062; N 50, ст. 7354). *(5) Пункт 1.1 статьи 26 Закона Российской Федерации от 10 июля 1992г.  N 3266-1 "Об образовании" (Ведомости Съезда народных депутатов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 Совета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Федерации, 1992,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1797; Собрание законодательства Российской Федерации, 1996,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2007, N 17, ст. 1932; N 49, ст. 6070; 2008, N 44, ст. 4986;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2011, N 25, ст. 3538). *(6) Пункт 1.1 статьи 16 Закона Российской Федерации от 10 июля 1992г.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 образовании" (Ведомости Съезда народных депутатов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 Совета Российской Федерации, 1992,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1797; Собрание законодательства Российской Федерации, 1996,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2007, N 2, ст. 360; N 7, ст. 838;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N 44,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ст. 5280; N 49,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6070, ст. 6074; 2008, N 30, ст. 3616;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2009, N 7, ст. 786, ст. 787;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46, ст. 5419; 2011, N 6, ст. 793; N 27, ст. 3871; N 46, ст. 6408; N 47,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6608). *(7) Статья 331 Трудового кодекса Российской Федерации (Собрание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законодательства Российской Федерации, 2002, N 1, ст. 3; 2006, N 27,ст. 2878; 2010, N 52, ст. 7002;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2012, N 14,ст. 1553). *(8) Пункт 1 статьи 55 Закона Российской Федерации от 10 июля 1992.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 образовании" (Ведомости Съезда народных депутатов</w:t>
      </w:r>
      <w:r w:rsidR="000B07AE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spell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оссийской</w:t>
      </w:r>
      <w:proofErr w:type="spell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Федерации и Верховного Совета Российской Федерации, 1992, 30, ст. 1797; Собрание законодательства Российской Федерации, 1996,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>00, N 33, ст. 3348; 2002, N 26,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ст. 2517; 2004, N 35,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3607; 2007, N 1, ст. 21; N 7, ст. 838;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3808; 2010, N 31,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ст. 4184; 2011, N 1, ст. 51).*(9) Подпункт 9 пункта 2 статьи 32 Закона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lastRenderedPageBreak/>
        <w:t>Российской Федерации от 10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июля 1992 г. N 3266-1 "Об образовании" (Ведомости Съезда народных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депутатов Российской Федерации и Верховного Совета Российской Федерации,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1992, N 30, ст. 1797; Собрание законодательства Российской Федерации,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1996, N 3, ст. 150;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2002, N 26, ст. 2517; 2003, N 2, ст. 163; 2004, N 27,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2714; N 35, ст. 3607; 2007, N 1, ст. 21; N 30, ст. 3808; N 49,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ст. 6070; 2010, N 46, ст. 5918;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2012, N 10, ст. 1159) *(10) Подпункт 10 пункта 2 статьи 32 Закона Российской Федерации от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10 июля 1992 г. N 3266-1 "Об образовании" (Ведомости Съезда народных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депутатов Российской Федерации и Верховного Совета Российской Федерации,1992, N 30, ст. 1797; Собрание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законодательства Российской Федерации,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1996, N 3, ст. 150; 2002, N 26, ст. 2517;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2003, N 2, ст. 163; 2004, N 27,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2714; N 35, ст. 3607; 2007, N 1, ст. 21; N 30, ст. 3808; N 49,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6070; 2010, N 46, ст. 5918; 2012, N 10, ст. 1159). *(11) Пункт 1 статьи 39 Закона Российской Федерации от 10 июля 1992г.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образовании"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(Ведомости Съезда народных депутатов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 Совета Российской Федерации, 1992,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1797; Собрание законодательства Российской Федерации, 1996,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2004, N 35, ст. 3607; 2006, N 45, ст. 4627; 2007, N 7,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834; N 27, ст. 3213; 2008, N 52, ст. 6241;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2009, N 51, ст. 6158). *(12) Пункт 3 статьи 39 Закона Российской Федерации от 10 июля 1992г.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 образовании" (Ведомости Съезда народных депутатов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 Совета Российской Федерации, 1992,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1797; Собрание законодательства Российской Федерации, 1996,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2004, N 35, ст. 3607; 2006, N 45, ст. 4627; 2007, N 7,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834; N 27, ст. 3213; 2008, N 52, ст. 6241;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2009, N 51, ст. 6158). *(13) Пункт 8 статьи 41 Закона Российской Федерации от 10 июля 1992г.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3266-1 "Об образовании" (Ведомости Съезда народных депутатов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Российской Федерации и Верховного Совета Российской Федерации, 1992,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30, ст. 1797; Собрание законодательства Российской Федерации, 1996,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N 3, ст. 150; 2002, N 26, ст. 2517; 2004, N 35, ст. 3607; 2006, N 1,ст. 10; 2007, N 17, ст. 1932, N 44, ст. 5280;</w:t>
      </w:r>
      <w:proofErr w:type="gramEnd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proofErr w:type="gramStart"/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2010, N 19, ст. 2291; N 50,</w:t>
      </w:r>
      <w:r w:rsidR="001269E9">
        <w:rPr>
          <w:rFonts w:ascii="Times New Roman" w:eastAsia="Times New Roman" w:hAnsi="Times New Roman" w:cs="Times New Roman"/>
          <w:color w:val="2F2F2F"/>
          <w:sz w:val="29"/>
          <w:szCs w:val="29"/>
        </w:rPr>
        <w:t xml:space="preserve"> </w:t>
      </w:r>
      <w:r w:rsidRPr="00D60317">
        <w:rPr>
          <w:rFonts w:ascii="Times New Roman" w:eastAsia="Times New Roman" w:hAnsi="Times New Roman" w:cs="Times New Roman"/>
          <w:color w:val="2F2F2F"/>
          <w:sz w:val="29"/>
          <w:szCs w:val="29"/>
        </w:rPr>
        <w:t>ст. 6595).</w:t>
      </w:r>
      <w:proofErr w:type="gramEnd"/>
    </w:p>
    <w:sectPr w:rsidR="00552F18" w:rsidSect="00D60317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317"/>
    <w:rsid w:val="0002019C"/>
    <w:rsid w:val="000B07AE"/>
    <w:rsid w:val="001269E9"/>
    <w:rsid w:val="00250419"/>
    <w:rsid w:val="003B1658"/>
    <w:rsid w:val="00441864"/>
    <w:rsid w:val="00552F18"/>
    <w:rsid w:val="006201EE"/>
    <w:rsid w:val="00747C7C"/>
    <w:rsid w:val="009043B7"/>
    <w:rsid w:val="00A20A23"/>
    <w:rsid w:val="00BB25AB"/>
    <w:rsid w:val="00C471A2"/>
    <w:rsid w:val="00D60317"/>
    <w:rsid w:val="00E7466D"/>
    <w:rsid w:val="00F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03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0317"/>
  </w:style>
  <w:style w:type="character" w:styleId="a4">
    <w:name w:val="Strong"/>
    <w:basedOn w:val="a0"/>
    <w:uiPriority w:val="22"/>
    <w:qFormat/>
    <w:rsid w:val="00D603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4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90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3E72-8129-46C6-B555-F181E1BB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2017-04-24T00:13:00Z</dcterms:created>
  <dcterms:modified xsi:type="dcterms:W3CDTF">2017-04-24T05:31:00Z</dcterms:modified>
</cp:coreProperties>
</file>